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8" w:hangingChars="31"/>
        <w:jc w:val="center"/>
        <w:rPr>
          <w:rFonts w:hint="eastAsia" w:ascii="方正小标宋简体" w:hAnsi="华文中宋" w:eastAsia="方正小标宋简体"/>
          <w:b w:val="0"/>
          <w:bCs/>
          <w:color w:val="FF0000"/>
          <w:w w:val="38"/>
          <w:sz w:val="152"/>
          <w:szCs w:val="152"/>
        </w:rPr>
      </w:pPr>
      <w:bookmarkStart w:id="0" w:name="_GoBack"/>
      <w:bookmarkEnd w:id="0"/>
      <w:r>
        <w:rPr>
          <w:rFonts w:hint="eastAsia" w:ascii="方正小标宋简体" w:hAnsi="华文中宋" w:eastAsia="方正小标宋简体"/>
          <w:b w:val="0"/>
          <w:bCs/>
          <w:color w:val="FF0000"/>
          <w:w w:val="38"/>
          <w:sz w:val="152"/>
          <w:szCs w:val="152"/>
        </w:rPr>
        <w:t>枣庄市市中区人民政府办公室文件</w:t>
      </w:r>
    </w:p>
    <w:p>
      <w:pPr>
        <w:keepNext w:val="0"/>
        <w:keepLines w:val="0"/>
        <w:pageBreakBefore w:val="0"/>
        <w:widowControl/>
        <w:kinsoku/>
        <w:wordWrap/>
        <w:overflowPunct w:val="0"/>
        <w:topLinePunct w:val="0"/>
        <w:autoSpaceDE/>
        <w:autoSpaceDN/>
        <w:bidi w:val="0"/>
        <w:adjustRightInd w:val="0"/>
        <w:snapToGrid w:val="0"/>
        <w:ind w:firstLine="642"/>
        <w:textAlignment w:val="auto"/>
        <w:rPr>
          <w:rFonts w:hint="default" w:ascii="Times New Roman" w:hAnsi="Times New Roman" w:cs="Times New Roman"/>
        </w:rPr>
      </w:pPr>
    </w:p>
    <w:p>
      <w:pPr>
        <w:keepNext/>
        <w:keepLines/>
        <w:pageBreakBefore w:val="0"/>
        <w:widowControl w:val="0"/>
        <w:kinsoku/>
        <w:wordWrap/>
        <w:overflowPunct w:val="0"/>
        <w:topLinePunct w:val="0"/>
        <w:autoSpaceDE/>
        <w:autoSpaceDN/>
        <w:bidi w:val="0"/>
        <w:adjustRightInd/>
        <w:snapToGrid/>
        <w:spacing w:before="313" w:beforeLines="100" w:line="560" w:lineRule="exact"/>
        <w:ind w:firstLine="0" w:firstLineChars="0"/>
        <w:jc w:val="center"/>
        <w:textAlignment w:val="auto"/>
        <w:rPr>
          <w:rFonts w:hint="default" w:ascii="Times New Roman" w:hAnsi="Times New Roman" w:eastAsia="楷体_GB2312" w:cs="Times New Roman"/>
          <w:b/>
          <w:kern w:val="2"/>
          <w:sz w:val="32"/>
          <w:szCs w:val="24"/>
          <w:lang w:val="en-US" w:eastAsia="zh-CN" w:bidi="ar-SA"/>
        </w:rPr>
      </w:pPr>
      <w:r>
        <w:rPr>
          <w:rFonts w:hint="default" w:ascii="Times New Roman" w:hAnsi="Times New Roman" w:eastAsia="楷体_GB2312" w:cs="Times New Roman"/>
          <w:b/>
          <w:kern w:val="2"/>
          <w:sz w:val="32"/>
          <w:szCs w:val="24"/>
          <w:lang w:val="en-US" w:eastAsia="zh-CN" w:bidi="ar-SA"/>
        </w:rPr>
        <w:t>市中政</w:t>
      </w:r>
      <w:r>
        <w:rPr>
          <w:rFonts w:hint="eastAsia" w:ascii="Times New Roman" w:hAnsi="Times New Roman" w:eastAsia="楷体_GB2312" w:cs="Times New Roman"/>
          <w:b/>
          <w:kern w:val="2"/>
          <w:sz w:val="32"/>
          <w:szCs w:val="24"/>
          <w:lang w:val="en-US" w:eastAsia="zh-CN" w:bidi="ar-SA"/>
        </w:rPr>
        <w:t>办发</w:t>
      </w:r>
      <w:r>
        <w:rPr>
          <w:rFonts w:hint="default" w:ascii="Times New Roman" w:hAnsi="Times New Roman" w:eastAsia="楷体_GB2312" w:cs="Times New Roman"/>
          <w:b/>
          <w:kern w:val="2"/>
          <w:sz w:val="32"/>
          <w:szCs w:val="24"/>
          <w:lang w:val="en-US" w:eastAsia="zh-CN" w:bidi="ar-SA"/>
        </w:rPr>
        <w:t>〔2025〕</w:t>
      </w:r>
      <w:r>
        <w:rPr>
          <w:rFonts w:hint="eastAsia" w:eastAsia="楷体_GB2312" w:cs="Times New Roman"/>
          <w:b/>
          <w:kern w:val="2"/>
          <w:sz w:val="32"/>
          <w:szCs w:val="24"/>
          <w:lang w:val="en-US" w:eastAsia="zh-CN" w:bidi="ar-SA"/>
        </w:rPr>
        <w:t>4</w:t>
      </w:r>
      <w:r>
        <w:rPr>
          <w:rFonts w:hint="default" w:ascii="Times New Roman" w:hAnsi="Times New Roman" w:eastAsia="楷体_GB2312" w:cs="Times New Roman"/>
          <w:b/>
          <w:kern w:val="2"/>
          <w:sz w:val="32"/>
          <w:szCs w:val="24"/>
          <w:lang w:val="en-US" w:eastAsia="zh-CN" w:bidi="ar-SA"/>
        </w:rPr>
        <w:t>号</w:t>
      </w:r>
    </w:p>
    <w:p>
      <w:pPr>
        <w:rPr>
          <w:rFonts w:hint="default" w:ascii="Times New Roman" w:hAnsi="Times New Roman" w:cs="Times New Roma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3860165</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03.95pt;height:0.25pt;width:453.55pt;mso-position-horizontal-relative:page;mso-position-vertical-relative:page;z-index:251659264;mso-width-relative:page;mso-height-relative:page;" filled="f" stroked="t" coordsize="21600,21600" o:gfxdata="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gM+BdcAAAAMAQAADwAAAAAAAAABACAAAAAi&#10;AAAAZHJzL2Rvd25yZXYueG1sUEsBAhQAFAAAAAgAh07iQPGLWu4LAgAABQQAAA4AAAAAAAAAAQAg&#10;AAAAJgEAAGRycy9lMm9Eb2MueG1sUEsFBgAAAAAGAAYAWQEAAKMFAAAAAA==&#10;">
                <v:fill on="f" focussize="0,0"/>
                <v:stroke weight="1.7pt" color="#FF0000" joinstyle="round"/>
                <v:imagedata o:title=""/>
                <o:lock v:ext="edit" aspectratio="f"/>
                <v:shadow on="t" color="#C0C0C0" offset="0pt,0pt" origin="0f,0f" matrix="65536f,0f,0f,65536f"/>
              </v:line>
            </w:pict>
          </mc:Fallback>
        </mc:AlternateContent>
      </w:r>
    </w:p>
    <w:p>
      <w:pPr>
        <w:rPr>
          <w:rFonts w:hint="default" w:ascii="Times New Roman" w:hAnsi="Times New Roman" w:cs="Times New Roman"/>
        </w:rPr>
      </w:pPr>
    </w:p>
    <w:p>
      <w:pPr>
        <w:pStyle w:val="3"/>
        <w:keepNext/>
        <w:keepLines/>
        <w:pageBreakBefore w:val="0"/>
        <w:widowControl w:val="0"/>
        <w:kinsoku/>
        <w:wordWrap/>
        <w:overflowPunct w:val="0"/>
        <w:topLinePunct w:val="0"/>
        <w:autoSpaceDE/>
        <w:autoSpaceDN/>
        <w:bidi w:val="0"/>
        <w:adjustRightInd/>
        <w:snapToGrid/>
        <w:spacing w:line="600" w:lineRule="exact"/>
        <w:textAlignment w:val="auto"/>
        <w:rPr>
          <w:rFonts w:hint="default" w:eastAsia="方正小标宋简体"/>
          <w:lang w:val="en-US" w:eastAsia="zh-CN"/>
        </w:rPr>
      </w:pPr>
      <w:r>
        <w:rPr>
          <w:rFonts w:hint="eastAsia"/>
          <w:lang w:val="en-US" w:eastAsia="zh-CN"/>
        </w:rPr>
        <w:t>枣庄市市中区人民政府办公室</w:t>
      </w:r>
    </w:p>
    <w:p>
      <w:pPr>
        <w:pStyle w:val="3"/>
        <w:keepNext/>
        <w:keepLines/>
        <w:pageBreakBefore w:val="0"/>
        <w:widowControl w:val="0"/>
        <w:kinsoku/>
        <w:wordWrap/>
        <w:overflowPunct w:val="0"/>
        <w:topLinePunct w:val="0"/>
        <w:autoSpaceDE/>
        <w:autoSpaceDN/>
        <w:bidi w:val="0"/>
        <w:adjustRightInd/>
        <w:snapToGrid/>
        <w:spacing w:line="600" w:lineRule="exact"/>
        <w:textAlignment w:val="auto"/>
        <w:rPr>
          <w:rFonts w:hint="eastAsia"/>
        </w:rPr>
      </w:pPr>
      <w:r>
        <w:rPr>
          <w:rFonts w:hint="eastAsia"/>
        </w:rPr>
        <w:t>枣庄市市中区人民政府常务会议2025年度</w:t>
      </w:r>
      <w:r>
        <w:rPr>
          <w:rFonts w:hint="eastAsia"/>
        </w:rPr>
        <w:br w:type="textWrapping"/>
      </w:r>
      <w:r>
        <w:rPr>
          <w:rFonts w:hint="eastAsia"/>
        </w:rPr>
        <w:t>学法计划</w:t>
      </w:r>
    </w:p>
    <w:p>
      <w:pPr>
        <w:rPr>
          <w:rFonts w:hint="eastAsia"/>
        </w:rPr>
      </w:pPr>
    </w:p>
    <w:p>
      <w:pPr>
        <w:pStyle w:val="4"/>
        <w:bidi w:val="0"/>
        <w:rPr>
          <w:rFonts w:hint="eastAsia"/>
        </w:rPr>
      </w:pPr>
      <w:r>
        <w:rPr>
          <w:rFonts w:hint="eastAsia"/>
        </w:rPr>
        <w:t>一、总体安排</w:t>
      </w:r>
    </w:p>
    <w:p>
      <w:pPr>
        <w:rPr>
          <w:rFonts w:hint="eastAsia"/>
        </w:rPr>
      </w:pPr>
      <w:r>
        <w:rPr>
          <w:rFonts w:hint="eastAsia"/>
        </w:rPr>
        <w:t>区政府常务会议2025年度学习法律法规采取会议学法和法治专题讲座两种方式进行。全年计划安排区政府常务会议学法4次，举办法治专题讲座2次。</w:t>
      </w:r>
    </w:p>
    <w:p>
      <w:pPr>
        <w:pStyle w:val="4"/>
        <w:bidi w:val="0"/>
        <w:rPr>
          <w:rFonts w:hint="eastAsia"/>
        </w:rPr>
      </w:pPr>
      <w:r>
        <w:rPr>
          <w:rFonts w:hint="eastAsia"/>
        </w:rPr>
        <w:t>二、学法内容</w:t>
      </w:r>
    </w:p>
    <w:p>
      <w:pPr>
        <w:pStyle w:val="5"/>
        <w:bidi w:val="0"/>
        <w:rPr>
          <w:rFonts w:hint="eastAsia"/>
        </w:rPr>
      </w:pPr>
      <w:r>
        <w:rPr>
          <w:rFonts w:hint="eastAsia"/>
        </w:rPr>
        <w:t>（一）第一季度（责任单位：区审计局、区财政局）</w:t>
      </w:r>
    </w:p>
    <w:p>
      <w:pPr>
        <w:rPr>
          <w:rFonts w:hint="eastAsia"/>
        </w:rPr>
      </w:pPr>
      <w:r>
        <w:rPr>
          <w:rFonts w:hint="eastAsia"/>
        </w:rPr>
        <w:t>1.《中华人民共和国审计法》</w:t>
      </w:r>
    </w:p>
    <w:p>
      <w:pPr>
        <w:rPr>
          <w:rFonts w:hint="eastAsia"/>
        </w:rPr>
      </w:pPr>
      <w:r>
        <w:rPr>
          <w:rFonts w:hint="eastAsia"/>
        </w:rPr>
        <w:t>2.《中华人民共和国会计法》</w:t>
      </w:r>
    </w:p>
    <w:p>
      <w:pPr>
        <w:rPr>
          <w:rFonts w:hint="eastAsia"/>
        </w:rPr>
      </w:pPr>
      <w:r>
        <w:rPr>
          <w:rFonts w:hint="eastAsia"/>
        </w:rPr>
        <w:t>3.《党政主要领导干部和国有企事业单位主要领导人员经济责任审计规定》</w:t>
      </w:r>
    </w:p>
    <w:p>
      <w:pPr>
        <w:pStyle w:val="5"/>
        <w:bidi w:val="0"/>
        <w:rPr>
          <w:rFonts w:hint="eastAsia"/>
        </w:rPr>
      </w:pPr>
      <w:r>
        <w:rPr>
          <w:rFonts w:hint="eastAsia"/>
        </w:rPr>
        <w:t>（二）第二季度（责任单位：枣庄经济开发区管理委员会、区市场监督管理局、区人力资源社会保障局）</w:t>
      </w:r>
    </w:p>
    <w:p>
      <w:pPr>
        <w:rPr>
          <w:rFonts w:hint="eastAsia"/>
        </w:rPr>
      </w:pPr>
      <w:r>
        <w:rPr>
          <w:rFonts w:hint="eastAsia"/>
        </w:rPr>
        <w:t>1.《山东省开发区条例》</w:t>
      </w:r>
    </w:p>
    <w:p>
      <w:pPr>
        <w:rPr>
          <w:rFonts w:hint="eastAsia"/>
        </w:rPr>
      </w:pPr>
      <w:r>
        <w:rPr>
          <w:rFonts w:hint="eastAsia"/>
        </w:rPr>
        <w:t>2.《中华人民共和国公司法》</w:t>
      </w:r>
    </w:p>
    <w:p>
      <w:pPr>
        <w:rPr>
          <w:rFonts w:hint="eastAsia"/>
        </w:rPr>
      </w:pPr>
      <w:r>
        <w:rPr>
          <w:rFonts w:hint="eastAsia"/>
        </w:rPr>
        <w:t>3.《公平竞争审查条例》</w:t>
      </w:r>
    </w:p>
    <w:p>
      <w:pPr>
        <w:rPr>
          <w:rFonts w:hint="eastAsia"/>
        </w:rPr>
      </w:pPr>
      <w:r>
        <w:rPr>
          <w:rFonts w:hint="eastAsia"/>
        </w:rPr>
        <w:t>4.《保障农民工工资支付条例》</w:t>
      </w:r>
    </w:p>
    <w:p>
      <w:pPr>
        <w:pStyle w:val="5"/>
        <w:bidi w:val="0"/>
        <w:rPr>
          <w:rFonts w:hint="eastAsia"/>
        </w:rPr>
      </w:pPr>
      <w:r>
        <w:rPr>
          <w:rFonts w:hint="eastAsia"/>
        </w:rPr>
        <w:t>（三）第三季度（责任部门：区自然资源局、市中生态环境分局、区农业农村局）</w:t>
      </w:r>
    </w:p>
    <w:p>
      <w:pPr>
        <w:rPr>
          <w:rFonts w:hint="eastAsia"/>
        </w:rPr>
      </w:pPr>
      <w:r>
        <w:rPr>
          <w:rFonts w:hint="eastAsia"/>
        </w:rPr>
        <w:t>1.《中华人民共和国矿产资源法》</w:t>
      </w:r>
    </w:p>
    <w:p>
      <w:pPr>
        <w:rPr>
          <w:rFonts w:hint="eastAsia"/>
        </w:rPr>
      </w:pPr>
      <w:r>
        <w:rPr>
          <w:rFonts w:hint="eastAsia"/>
        </w:rPr>
        <w:t>2.《中华人民共和国土地管理法》</w:t>
      </w:r>
    </w:p>
    <w:p>
      <w:pPr>
        <w:rPr>
          <w:rFonts w:hint="eastAsia"/>
        </w:rPr>
      </w:pPr>
      <w:r>
        <w:rPr>
          <w:rFonts w:hint="eastAsia"/>
        </w:rPr>
        <w:t>3.《中华人民共和国农村集体经济组织法》</w:t>
      </w:r>
    </w:p>
    <w:p>
      <w:pPr>
        <w:rPr>
          <w:rFonts w:hint="eastAsia"/>
        </w:rPr>
      </w:pPr>
      <w:r>
        <w:rPr>
          <w:rFonts w:hint="eastAsia"/>
        </w:rPr>
        <w:t>4.《碳排放权交易管理暂行条例》</w:t>
      </w:r>
    </w:p>
    <w:p>
      <w:pPr>
        <w:pStyle w:val="5"/>
        <w:bidi w:val="0"/>
        <w:rPr>
          <w:rFonts w:hint="eastAsia"/>
        </w:rPr>
      </w:pPr>
      <w:r>
        <w:rPr>
          <w:rFonts w:hint="eastAsia"/>
        </w:rPr>
        <w:t>（四）第四季度（责任部门：市中公安分局、区司法局、区应急管理局）</w:t>
      </w:r>
    </w:p>
    <w:p>
      <w:pPr>
        <w:rPr>
          <w:rFonts w:hint="eastAsia"/>
        </w:rPr>
      </w:pPr>
      <w:r>
        <w:rPr>
          <w:rFonts w:hint="eastAsia"/>
        </w:rPr>
        <w:t>1.《中华人民共和国治安管理处罚法》</w:t>
      </w:r>
    </w:p>
    <w:p>
      <w:pPr>
        <w:rPr>
          <w:rFonts w:hint="eastAsia"/>
        </w:rPr>
      </w:pPr>
      <w:r>
        <w:rPr>
          <w:rFonts w:hint="eastAsia"/>
        </w:rPr>
        <w:t>2.《中华人民共和国行政处罚法》</w:t>
      </w:r>
    </w:p>
    <w:p>
      <w:pPr>
        <w:rPr>
          <w:rFonts w:hint="eastAsia"/>
        </w:rPr>
      </w:pPr>
      <w:r>
        <w:rPr>
          <w:rFonts w:hint="eastAsia"/>
        </w:rPr>
        <w:t>3.《中华人民共和国突发事件应对法》</w:t>
      </w:r>
    </w:p>
    <w:p>
      <w:pPr>
        <w:pStyle w:val="4"/>
        <w:bidi w:val="0"/>
        <w:rPr>
          <w:rFonts w:hint="eastAsia"/>
        </w:rPr>
      </w:pPr>
      <w:r>
        <w:rPr>
          <w:rFonts w:hint="eastAsia"/>
        </w:rPr>
        <w:t>三、专题学法</w:t>
      </w:r>
    </w:p>
    <w:p>
      <w:pPr>
        <w:rPr>
          <w:rFonts w:hint="eastAsia"/>
        </w:rPr>
      </w:pPr>
      <w:r>
        <w:rPr>
          <w:rFonts w:hint="eastAsia"/>
        </w:rPr>
        <w:t>根据2025年度全区法治建设工作需要，择机邀请专家学者进行法治专题讲座，上半年、下半年各举办一次。</w:t>
      </w:r>
    </w:p>
    <w:p>
      <w:pPr>
        <w:pStyle w:val="4"/>
        <w:bidi w:val="0"/>
        <w:rPr>
          <w:rFonts w:hint="eastAsia"/>
        </w:rPr>
      </w:pPr>
      <w:r>
        <w:rPr>
          <w:rFonts w:hint="eastAsia"/>
        </w:rPr>
        <w:t>四、相关要求</w:t>
      </w:r>
    </w:p>
    <w:p>
      <w:pPr>
        <w:rPr>
          <w:rFonts w:hint="eastAsia"/>
        </w:rPr>
      </w:pPr>
      <w:r>
        <w:rPr>
          <w:rFonts w:hint="eastAsia"/>
        </w:rPr>
        <w:t>（一）区政府常务会议学法由区政府办公室、区司法局负责组织实施，各责任单位密切配合。法治专题讲座可在学法内容中酌情安排，也可另行选择学法专题，由相关责任单位提请区政府同意后以适当方式组织实施。区政府领导可根据工作需要调整、新增学法内容。</w:t>
      </w:r>
    </w:p>
    <w:p>
      <w:pPr>
        <w:rPr>
          <w:rFonts w:hint="eastAsia"/>
        </w:rPr>
      </w:pPr>
      <w:r>
        <w:rPr>
          <w:rFonts w:hint="eastAsia"/>
        </w:rPr>
        <w:t>（二）各责任单位要高度重视常务会议学法工作，根据本计划提前确定主讲人员，对相关法律法规进行深入学习研究，准确理解法律要义，认真准备学法内容，保证学法质量。其他全区性学法活动由相关部门根据需要，以适当方式组织实施。</w:t>
      </w:r>
    </w:p>
    <w:p>
      <w:pPr>
        <w:rPr>
          <w:rFonts w:hint="eastAsia"/>
        </w:rPr>
      </w:pPr>
      <w:r>
        <w:rPr>
          <w:rFonts w:hint="eastAsia"/>
        </w:rPr>
        <w:t>（三）各镇街、区政府各部门单位要参照本计划，结合本系统新法新规和工作实际详细制定学习与培训计划，认真抓好学法活动的组织和落实，确保学习培训与本单位重点工作紧密结合，通过学习培训提升法治思维和依法行政能力。</w:t>
      </w:r>
    </w:p>
    <w:p>
      <w:pPr>
        <w:rPr>
          <w:rFonts w:hint="eastAsia"/>
        </w:rPr>
      </w:pPr>
    </w:p>
    <w:p>
      <w:pPr>
        <w:rPr>
          <w:rFonts w:hint="eastAsia"/>
        </w:rPr>
      </w:pPr>
    </w:p>
    <w:p>
      <w:pPr>
        <w:rPr>
          <w:rFonts w:hint="eastAsia"/>
        </w:rPr>
      </w:pPr>
    </w:p>
    <w:p>
      <w:pPr>
        <w:jc w:val="right"/>
        <w:rPr>
          <w:rFonts w:hint="eastAsia"/>
        </w:rPr>
      </w:pPr>
      <w:r>
        <w:rPr>
          <w:rFonts w:hint="eastAsia"/>
        </w:rPr>
        <w:t>枣庄市市中区</w:t>
      </w:r>
      <w:r>
        <w:rPr>
          <w:rFonts w:hint="eastAsia"/>
          <w:lang w:val="en-US" w:eastAsia="zh-CN"/>
        </w:rPr>
        <w:t>人民</w:t>
      </w:r>
      <w:r>
        <w:rPr>
          <w:rFonts w:hint="eastAsia"/>
        </w:rPr>
        <w:t>政府办公室</w:t>
      </w:r>
    </w:p>
    <w:p>
      <w:pPr>
        <w:jc w:val="right"/>
        <w:rPr>
          <w:rFonts w:hint="eastAsia"/>
          <w:lang w:val="en-US" w:eastAsia="zh-CN"/>
        </w:rPr>
      </w:pPr>
      <w:r>
        <w:rPr>
          <w:rFonts w:hint="eastAsia"/>
        </w:rPr>
        <w:t>2025年</w:t>
      </w:r>
      <w:r>
        <w:rPr>
          <w:rFonts w:hint="eastAsia"/>
          <w:lang w:val="en-US" w:eastAsia="zh-CN"/>
        </w:rPr>
        <w:t>3</w:t>
      </w:r>
      <w:r>
        <w:rPr>
          <w:rFonts w:hint="eastAsia"/>
        </w:rPr>
        <w:t>月</w:t>
      </w:r>
      <w:r>
        <w:rPr>
          <w:rFonts w:hint="eastAsia"/>
          <w:lang w:val="en-US" w:eastAsia="zh-CN"/>
        </w:rPr>
        <w:t>31</w:t>
      </w:r>
      <w:r>
        <w:rPr>
          <w:rFonts w:hint="eastAsia"/>
        </w:rPr>
        <w:t>日</w:t>
      </w:r>
      <w:r>
        <w:rPr>
          <w:rFonts w:hint="eastAsia"/>
          <w:lang w:val="en-US" w:eastAsia="zh-CN"/>
        </w:rPr>
        <w:tab/>
      </w:r>
      <w:r>
        <w:rPr>
          <w:rFonts w:hint="eastAsia"/>
          <w:lang w:val="en-US" w:eastAsia="zh-CN"/>
        </w:rPr>
        <w:tab/>
      </w:r>
    </w:p>
    <w:p>
      <w:pPr>
        <w:jc w:val="left"/>
        <w:rPr>
          <w:rFonts w:hint="default"/>
          <w:lang w:val="en-US" w:eastAsia="zh-CN"/>
        </w:rPr>
      </w:pPr>
      <w:r>
        <w:rPr>
          <w:rFonts w:hint="default"/>
          <w:lang w:val="en-US" w:eastAsia="zh-CN"/>
        </w:rPr>
        <w:t>（此件公开</w:t>
      </w:r>
      <w:r>
        <w:rPr>
          <w:rFonts w:hint="eastAsia"/>
          <w:lang w:val="en-US" w:eastAsia="zh-CN"/>
        </w:rPr>
        <w:t>发布</w:t>
      </w:r>
      <w:r>
        <w:rPr>
          <w:rFonts w:hint="default"/>
          <w:lang w:val="en-US" w:eastAsia="zh-CN"/>
        </w:rPr>
        <w:t>）</w:t>
      </w: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tbl>
      <w:tblPr>
        <w:tblStyle w:val="10"/>
        <w:tblpPr w:leftFromText="181" w:rightFromText="181" w:vertAnchor="page" w:horzAnchor="page" w:tblpX="1795" w:tblpY="14452"/>
        <w:tblOverlap w:val="never"/>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8522"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_GB2312" w:cs="Times New Roman"/>
                <w:b/>
                <w:bCs/>
                <w:sz w:val="28"/>
                <w:szCs w:val="28"/>
                <w:vertAlign w:val="baseline"/>
                <w:lang w:val="en-US" w:eastAsia="zh-CN"/>
              </w:rPr>
              <w:t>枣庄市市中区人民政府办公室             202</w:t>
            </w:r>
            <w:r>
              <w:rPr>
                <w:rFonts w:hint="default" w:ascii="Times New Roman" w:hAnsi="Times New Roman" w:cs="Times New Roman"/>
                <w:b/>
                <w:bCs/>
                <w:sz w:val="28"/>
                <w:szCs w:val="28"/>
                <w:vertAlign w:val="baseline"/>
                <w:lang w:val="en-US" w:eastAsia="zh-CN"/>
              </w:rPr>
              <w:t>5</w:t>
            </w:r>
            <w:r>
              <w:rPr>
                <w:rFonts w:hint="default" w:ascii="Times New Roman" w:hAnsi="Times New Roman" w:eastAsia="仿宋_GB2312" w:cs="Times New Roman"/>
                <w:b/>
                <w:bCs/>
                <w:sz w:val="28"/>
                <w:szCs w:val="28"/>
                <w:vertAlign w:val="baseline"/>
                <w:lang w:val="en-US" w:eastAsia="zh-CN"/>
              </w:rPr>
              <w:t>年</w:t>
            </w:r>
            <w:r>
              <w:rPr>
                <w:rFonts w:hint="eastAsia" w:cs="Times New Roman"/>
                <w:b/>
                <w:bCs/>
                <w:sz w:val="28"/>
                <w:szCs w:val="28"/>
                <w:vertAlign w:val="baseline"/>
                <w:lang w:val="en-US" w:eastAsia="zh-CN"/>
              </w:rPr>
              <w:t>3</w:t>
            </w:r>
            <w:r>
              <w:rPr>
                <w:rFonts w:hint="default" w:ascii="Times New Roman" w:hAnsi="Times New Roman" w:eastAsia="仿宋_GB2312" w:cs="Times New Roman"/>
                <w:b/>
                <w:bCs/>
                <w:sz w:val="28"/>
                <w:szCs w:val="28"/>
                <w:vertAlign w:val="baseline"/>
                <w:lang w:val="en-US" w:eastAsia="zh-CN"/>
              </w:rPr>
              <w:t>月</w:t>
            </w:r>
            <w:r>
              <w:rPr>
                <w:rFonts w:hint="eastAsia" w:cs="Times New Roman"/>
                <w:b/>
                <w:bCs/>
                <w:sz w:val="28"/>
                <w:szCs w:val="28"/>
                <w:vertAlign w:val="baseline"/>
                <w:lang w:val="en-US" w:eastAsia="zh-CN"/>
              </w:rPr>
              <w:t>31</w:t>
            </w:r>
            <w:r>
              <w:rPr>
                <w:rFonts w:hint="default" w:ascii="Times New Roman" w:hAnsi="Times New Roman" w:eastAsia="仿宋_GB2312" w:cs="Times New Roman"/>
                <w:b/>
                <w:bCs/>
                <w:sz w:val="28"/>
                <w:szCs w:val="28"/>
                <w:vertAlign w:val="baseline"/>
                <w:lang w:val="en-US" w:eastAsia="zh-CN"/>
              </w:rPr>
              <w:t>日印发</w:t>
            </w:r>
          </w:p>
        </w:tc>
      </w:tr>
    </w:tbl>
    <w:p>
      <w:pPr>
        <w:jc w:val="left"/>
        <w:rPr>
          <w:rFonts w:hint="default"/>
          <w:lang w:val="en-US" w:eastAsia="zh-CN"/>
        </w:rPr>
      </w:pPr>
    </w:p>
    <w:sectPr>
      <w:footerReference r:id="rId3" w:type="default"/>
      <w:pgSz w:w="11906" w:h="16838"/>
      <w:pgMar w:top="1644" w:right="1644" w:bottom="1644" w:left="1644"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sz w:val="32"/>
                              <w:szCs w:val="32"/>
                            </w:rPr>
                          </w:pPr>
                          <w:r>
                            <w:rPr>
                              <w:rFonts w:hint="eastAsia" w:asciiTheme="minorEastAsia" w:hAnsiTheme="minorEastAsia" w:eastAsiaTheme="minorEastAsia" w:cstheme="minorEastAsia"/>
                              <w:sz w:val="32"/>
                              <w:szCs w:val="32"/>
                            </w:rPr>
                            <w:t>—</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rPr>
                              <w:rFonts w:hint="eastAsia" w:asciiTheme="minorEastAsia" w:hAnsiTheme="minorEastAsia" w:eastAsiaTheme="minorEastAsia" w:cstheme="minorEastAsia"/>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ind w:left="0" w:leftChars="0" w:firstLine="0" w:firstLineChars="0"/>
                      <w:rPr>
                        <w:sz w:val="32"/>
                        <w:szCs w:val="32"/>
                      </w:rPr>
                    </w:pPr>
                    <w:r>
                      <w:rPr>
                        <w:rFonts w:hint="eastAsia" w:asciiTheme="minorEastAsia" w:hAnsiTheme="minorEastAsia" w:eastAsiaTheme="minorEastAsia" w:cstheme="minorEastAsia"/>
                        <w:sz w:val="32"/>
                        <w:szCs w:val="32"/>
                      </w:rPr>
                      <w:t>—</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rPr>
                        <w:rFonts w:hint="eastAsia" w:asciiTheme="minorEastAsia" w:hAnsiTheme="minorEastAsia" w:eastAsiaTheme="minorEastAsia" w:cstheme="minorEastAsia"/>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62A5"/>
    <w:rsid w:val="0168700A"/>
    <w:rsid w:val="07003538"/>
    <w:rsid w:val="13673B1E"/>
    <w:rsid w:val="13710699"/>
    <w:rsid w:val="153F7762"/>
    <w:rsid w:val="15DA0777"/>
    <w:rsid w:val="173B340C"/>
    <w:rsid w:val="17D02F59"/>
    <w:rsid w:val="1A74372A"/>
    <w:rsid w:val="1C166281"/>
    <w:rsid w:val="1ECA5375"/>
    <w:rsid w:val="282F3658"/>
    <w:rsid w:val="2A092903"/>
    <w:rsid w:val="2AA439E9"/>
    <w:rsid w:val="2C6A44EB"/>
    <w:rsid w:val="34341416"/>
    <w:rsid w:val="368044CF"/>
    <w:rsid w:val="37B41B04"/>
    <w:rsid w:val="38795776"/>
    <w:rsid w:val="3F3062A5"/>
    <w:rsid w:val="400E59C5"/>
    <w:rsid w:val="41B70282"/>
    <w:rsid w:val="4494346C"/>
    <w:rsid w:val="46AC3AE4"/>
    <w:rsid w:val="4CD8042C"/>
    <w:rsid w:val="4FF96BC2"/>
    <w:rsid w:val="527F1783"/>
    <w:rsid w:val="563E624F"/>
    <w:rsid w:val="57972BD5"/>
    <w:rsid w:val="57E417E0"/>
    <w:rsid w:val="59B461B6"/>
    <w:rsid w:val="5C4D7325"/>
    <w:rsid w:val="68660FC4"/>
    <w:rsid w:val="767B290A"/>
    <w:rsid w:val="76DE7093"/>
    <w:rsid w:val="771C29C5"/>
    <w:rsid w:val="779415BD"/>
    <w:rsid w:val="78816501"/>
    <w:rsid w:val="7C40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560" w:lineRule="exact"/>
      <w:ind w:firstLine="420" w:firstLineChars="200"/>
      <w:jc w:val="both"/>
    </w:pPr>
    <w:rPr>
      <w:rFonts w:ascii="Times New Roman" w:hAnsi="Times New Roman" w:eastAsia="仿宋_GB2312" w:cstheme="minorBidi"/>
      <w:b/>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eastAsia="宋体"/>
    </w:rPr>
  </w:style>
  <w:style w:type="character" w:default="1" w:styleId="11">
    <w:name w:val="Default Paragraph Font"/>
    <w:semiHidden/>
    <w:qFormat/>
    <w:uiPriority w:val="0"/>
    <w:rPr>
      <w:rFonts w:ascii="Times New Roman" w:hAnsi="Times New Roman" w:eastAsia="仿宋_GB2312"/>
      <w:b/>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7">
    <w:name w:val="footer"/>
    <w:basedOn w:val="1"/>
    <w:qFormat/>
    <w:uiPriority w:val="0"/>
    <w:pPr>
      <w:tabs>
        <w:tab w:val="center" w:pos="4153"/>
        <w:tab w:val="right" w:pos="8306"/>
      </w:tabs>
      <w:snapToGrid w:val="0"/>
      <w:ind w:firstLine="0" w:firstLineChars="0"/>
      <w:jc w:val="left"/>
    </w:pPr>
    <w:rPr>
      <w:rFonts w:ascii="Times New Roman" w:hAnsi="Times New Roman"/>
      <w:sz w:val="3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楷体GB2312居中"/>
    <w:basedOn w:val="1"/>
    <w:next w:val="1"/>
    <w:qFormat/>
    <w:uiPriority w:val="0"/>
    <w:pPr>
      <w:keepNext/>
      <w:keepLines/>
      <w:ind w:firstLine="0" w:firstLineChars="0"/>
      <w:jc w:val="center"/>
    </w:pPr>
    <w:rPr>
      <w:rFonts w:ascii="Times New Roman" w:hAnsi="Times New Roman"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910</Words>
  <Characters>944</Characters>
  <Lines>0</Lines>
  <Paragraphs>0</Paragraphs>
  <TotalTime>0</TotalTime>
  <ScaleCrop>false</ScaleCrop>
  <LinksUpToDate>false</LinksUpToDate>
  <CharactersWithSpaces>959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2025-04-01T02:52:00Z</dcterms:created>
  <dc:creator>月落喵啼</dc:creator>
  <cp:lastModifiedBy>lirong</cp:lastModifiedBy>
  <cp:lastPrinted>2025-04-08T09:17:00Z</cp:lastPrinted>
  <dcterms:modified xsi:type="dcterms:W3CDTF">2025-04-10T06:31:47Z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075ECB221D1A4B32905ACF4412763921_11</vt:lpwstr>
  </property>
  <property fmtid="{D5CDD505-2E9C-101B-9397-08002B2CF9AE}" pid="4" name="KSOTemplateDocerSaveRecord">
    <vt:lpwstr>eyJoZGlkIjoiZWMyZTUwNzlkOTJkYTBjNmI3YTM1N2I5ODdjZGE5NjQiLCJ1c2VySWQiOiI1OTI1MDE1NDYifQ==</vt:lpwstr>
  </property>
</Properties>
</file>